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786"/>
        <w:gridCol w:w="964"/>
        <w:gridCol w:w="1273"/>
        <w:gridCol w:w="3022"/>
        <w:gridCol w:w="908"/>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675" w:type="dxa"/>
            <w:noWrap w:val="0"/>
            <w:vAlign w:val="center"/>
          </w:tcPr>
          <w:p>
            <w:pPr>
              <w:keepNext w:val="0"/>
              <w:keepLines w:val="0"/>
              <w:widowControl/>
              <w:suppressLineNumbers w:val="0"/>
              <w:jc w:val="left"/>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附件3-2</w:t>
            </w:r>
          </w:p>
        </w:tc>
        <w:tc>
          <w:tcPr>
            <w:tcW w:w="786" w:type="dxa"/>
            <w:noWrap w:val="0"/>
            <w:vAlign w:val="bottom"/>
          </w:tcPr>
          <w:p>
            <w:pPr>
              <w:rPr>
                <w:rFonts w:hint="eastAsia" w:ascii="等线" w:hAnsi="等线" w:eastAsia="等线" w:cs="等线"/>
                <w:i w:val="0"/>
                <w:color w:val="000000"/>
                <w:sz w:val="22"/>
                <w:szCs w:val="22"/>
                <w:u w:val="none"/>
              </w:rPr>
            </w:pPr>
          </w:p>
        </w:tc>
        <w:tc>
          <w:tcPr>
            <w:tcW w:w="964" w:type="dxa"/>
            <w:noWrap w:val="0"/>
            <w:vAlign w:val="bottom"/>
          </w:tcPr>
          <w:p>
            <w:pPr>
              <w:rPr>
                <w:rFonts w:hint="default" w:ascii="等线" w:hAnsi="等线" w:eastAsia="等线" w:cs="等线"/>
                <w:i w:val="0"/>
                <w:color w:val="000000"/>
                <w:sz w:val="22"/>
                <w:szCs w:val="22"/>
                <w:u w:val="none"/>
              </w:rPr>
            </w:pPr>
          </w:p>
        </w:tc>
        <w:tc>
          <w:tcPr>
            <w:tcW w:w="1273" w:type="dxa"/>
            <w:noWrap w:val="0"/>
            <w:vAlign w:val="bottom"/>
          </w:tcPr>
          <w:p>
            <w:pPr>
              <w:rPr>
                <w:rFonts w:hint="default" w:ascii="等线" w:hAnsi="等线" w:eastAsia="等线" w:cs="等线"/>
                <w:i w:val="0"/>
                <w:color w:val="000000"/>
                <w:sz w:val="22"/>
                <w:szCs w:val="22"/>
                <w:u w:val="none"/>
              </w:rPr>
            </w:pPr>
          </w:p>
        </w:tc>
        <w:tc>
          <w:tcPr>
            <w:tcW w:w="3022" w:type="dxa"/>
            <w:noWrap w:val="0"/>
            <w:vAlign w:val="bottom"/>
          </w:tcPr>
          <w:p>
            <w:pPr>
              <w:rPr>
                <w:rFonts w:hint="default" w:ascii="等线" w:hAnsi="等线" w:eastAsia="等线" w:cs="等线"/>
                <w:i w:val="0"/>
                <w:color w:val="000000"/>
                <w:sz w:val="22"/>
                <w:szCs w:val="22"/>
                <w:u w:val="none"/>
              </w:rPr>
            </w:pPr>
          </w:p>
        </w:tc>
        <w:tc>
          <w:tcPr>
            <w:tcW w:w="908" w:type="dxa"/>
            <w:noWrap w:val="0"/>
            <w:vAlign w:val="bottom"/>
          </w:tcPr>
          <w:p>
            <w:pPr>
              <w:rPr>
                <w:rFonts w:hint="default" w:ascii="等线" w:hAnsi="等线" w:eastAsia="等线" w:cs="等线"/>
                <w:i w:val="0"/>
                <w:color w:val="000000"/>
                <w:sz w:val="22"/>
                <w:szCs w:val="22"/>
                <w:u w:val="none"/>
              </w:rPr>
            </w:pPr>
          </w:p>
        </w:tc>
        <w:tc>
          <w:tcPr>
            <w:tcW w:w="708" w:type="dxa"/>
            <w:noWrap w:val="0"/>
            <w:vAlign w:val="bottom"/>
          </w:tcPr>
          <w:p>
            <w:pPr>
              <w:rPr>
                <w:rFonts w:hint="default"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8336" w:type="dxa"/>
            <w:gridSpan w:val="7"/>
            <w:tcBorders>
              <w:bottom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32"/>
                <w:szCs w:val="32"/>
                <w:u w:val="none"/>
              </w:rPr>
            </w:pPr>
            <w:bookmarkStart w:id="0" w:name="_GoBack"/>
            <w:r>
              <w:rPr>
                <w:rFonts w:hint="eastAsia" w:ascii="黑体" w:hAnsi="宋体" w:eastAsia="黑体" w:cs="黑体"/>
                <w:b/>
                <w:i w:val="0"/>
                <w:color w:val="000000"/>
                <w:kern w:val="0"/>
                <w:sz w:val="32"/>
                <w:szCs w:val="32"/>
                <w:u w:val="none"/>
                <w:lang w:val="en-US" w:eastAsia="zh-CN" w:bidi="ar"/>
              </w:rPr>
              <w:t>部门整体支出绩效评价指标体系评分表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四级指标</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评分标准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评分依据及简要说明</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0" w:hRule="atLeast"/>
        </w:trPr>
        <w:tc>
          <w:tcPr>
            <w:tcW w:w="67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履职效能（35分）</w:t>
            </w:r>
          </w:p>
        </w:tc>
        <w:tc>
          <w:tcPr>
            <w:tcW w:w="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工作目标（5分）</w:t>
            </w: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目标设定（4分）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目标依据充分性（2分）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是否依据法律法规、社会经济发展的总体规划设定；②是否符合部门“三定”方案确定的部门工作职责；③是否符合部门制定的中长期规划及年度工作计划；④是否具有科学性和前瞻性。每项达到目标值得0.5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等线" w:hAnsi="等线" w:eastAsia="等线" w:cs="等线"/>
                <w:i w:val="0"/>
                <w:color w:val="000000"/>
                <w:sz w:val="20"/>
                <w:szCs w:val="20"/>
                <w:u w:val="none"/>
              </w:rPr>
            </w:pPr>
            <w:r>
              <w:rPr>
                <w:rFonts w:hint="eastAsia" w:ascii="等线" w:hAnsi="等线" w:eastAsia="等线" w:cs="等线"/>
                <w:color w:val="000000"/>
                <w:sz w:val="20"/>
                <w:szCs w:val="20"/>
              </w:rPr>
              <w:t>工作目标依据</w:t>
            </w:r>
            <w:r>
              <w:rPr>
                <w:rFonts w:hint="eastAsia" w:ascii="等线" w:hAnsi="等线" w:eastAsia="等线" w:cs="等线"/>
                <w:color w:val="000000"/>
                <w:sz w:val="20"/>
                <w:szCs w:val="20"/>
                <w:lang w:eastAsia="zh-CN"/>
              </w:rPr>
              <w:t>法律</w:t>
            </w:r>
            <w:r>
              <w:rPr>
                <w:rFonts w:hint="eastAsia" w:ascii="等线" w:hAnsi="等线" w:eastAsia="等线" w:cs="等线"/>
                <w:color w:val="000000"/>
                <w:sz w:val="20"/>
                <w:szCs w:val="20"/>
              </w:rPr>
              <w:t>法规、社会经济发展的总体规划设定工作目标；符合部门“三定”方案确定部门工作职责；符合部门制定中长期规划及年度工作计划；具有科学性和前瞻性。</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工作目标合理性（2分）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①是否符合客观实际是否可实现、可完成；②是否将部门整体的工作目标细化分解，使其为可衡量、可比较。每项达到目标值得1分。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等线" w:hAnsi="等线" w:eastAsia="等线" w:cs="等线"/>
                <w:color w:val="000000"/>
                <w:sz w:val="20"/>
                <w:szCs w:val="20"/>
              </w:rPr>
            </w:pPr>
            <w:r>
              <w:rPr>
                <w:rFonts w:hint="eastAsia" w:ascii="等线" w:hAnsi="等线" w:eastAsia="等线" w:cs="等线"/>
                <w:color w:val="000000"/>
                <w:sz w:val="20"/>
                <w:szCs w:val="20"/>
              </w:rPr>
              <w:t>工作目标设定符合客观实际可实现、可完成；已将部门整体的工作目标细化分解，使其为可衡量、可比较。</w:t>
            </w:r>
          </w:p>
          <w:p>
            <w:pPr>
              <w:jc w:val="center"/>
              <w:rPr>
                <w:rFonts w:hint="default" w:ascii="等线" w:hAnsi="等线" w:eastAsia="等线" w:cs="等线"/>
                <w:i w:val="0"/>
                <w:color w:val="000000"/>
                <w:sz w:val="20"/>
                <w:szCs w:val="20"/>
                <w:u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目标管理（1分）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目标管理有效性（1分）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①是否有对目标进行责任分解的相关工作机制；②目标管理工作机制是否科学、合理，是否能有效保障目标执行和落地。每项达到目标值得0.5分。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等线" w:hAnsi="等线" w:eastAsia="等线" w:cs="等线"/>
                <w:i w:val="0"/>
                <w:color w:val="000000"/>
                <w:sz w:val="20"/>
                <w:szCs w:val="20"/>
                <w:u w:val="none"/>
              </w:rPr>
            </w:pPr>
            <w:r>
              <w:rPr>
                <w:rFonts w:hint="eastAsia" w:ascii="等线" w:hAnsi="等线" w:eastAsia="等线" w:cs="等线"/>
                <w:color w:val="000000"/>
                <w:sz w:val="20"/>
                <w:szCs w:val="20"/>
              </w:rPr>
              <w:t>已对工作目标进行责任分解的相关工作机制；目标管理工作机制科学、合理，能有效保障目标执行和落地。</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tabs>
                <w:tab w:val="left" w:pos="208"/>
              </w:tabs>
              <w:jc w:val="left"/>
              <w:rPr>
                <w:rFonts w:hint="default"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eastAsia="zh-CN"/>
              </w:rPr>
              <w:tab/>
            </w:r>
            <w:r>
              <w:rPr>
                <w:rFonts w:hint="eastAsia" w:ascii="等线" w:hAnsi="等线" w:eastAsia="等线" w:cs="等线"/>
                <w:i w:val="0"/>
                <w:color w:val="000000"/>
                <w:sz w:val="20"/>
                <w:szCs w:val="20"/>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整体工作（15分）</w:t>
            </w:r>
          </w:p>
        </w:tc>
        <w:tc>
          <w:tcPr>
            <w:tcW w:w="96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整体工作完成（15分）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总体工作完成率（15分）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总体工作完成率=单位年度工作要点已完成的数量/单位年度工作要点工作总数量；得分=指标实际完成值×15。</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eastAsia="zh-CN"/>
              </w:rPr>
              <w:t>总体工作</w:t>
            </w:r>
            <w:r>
              <w:rPr>
                <w:rFonts w:hint="eastAsia" w:ascii="等线" w:hAnsi="等线" w:eastAsia="等线" w:cs="等线"/>
                <w:color w:val="000000"/>
                <w:sz w:val="20"/>
                <w:szCs w:val="20"/>
                <w:lang w:eastAsia="zh-CN"/>
              </w:rPr>
              <w:t>完成率</w:t>
            </w:r>
            <w:r>
              <w:rPr>
                <w:rFonts w:hint="eastAsia" w:ascii="等线" w:hAnsi="等线" w:eastAsia="等线" w:cs="等线"/>
                <w:i w:val="0"/>
                <w:color w:val="000000"/>
                <w:sz w:val="20"/>
                <w:szCs w:val="20"/>
                <w:u w:val="none"/>
                <w:lang w:val="en-US" w:eastAsia="zh-CN"/>
              </w:rPr>
              <w:t>100%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重点工作（15分）</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等线" w:hAnsi="等线" w:eastAsia="等线" w:cs="等线"/>
                <w:i w:val="0"/>
                <w:color w:val="000000"/>
                <w:sz w:val="20"/>
                <w:szCs w:val="20"/>
                <w:u w:val="none"/>
              </w:rPr>
            </w:pPr>
            <w:r>
              <w:rPr>
                <w:rFonts w:hint="eastAsia" w:ascii="等线" w:hAnsi="等线" w:eastAsia="等线" w:cs="等线"/>
                <w:i w:val="0"/>
                <w:color w:val="000000"/>
                <w:sz w:val="20"/>
                <w:szCs w:val="20"/>
                <w:u w:val="none"/>
                <w:lang w:eastAsia="zh-CN"/>
              </w:rPr>
              <w:t>党史研究及党史宣传教育（</w:t>
            </w:r>
            <w:r>
              <w:rPr>
                <w:rFonts w:hint="eastAsia" w:ascii="等线" w:hAnsi="等线" w:eastAsia="等线" w:cs="等线"/>
                <w:i w:val="0"/>
                <w:color w:val="000000"/>
                <w:sz w:val="20"/>
                <w:szCs w:val="20"/>
                <w:u w:val="none"/>
                <w:lang w:val="en-US" w:eastAsia="zh-CN"/>
              </w:rPr>
              <w:t>9分</w:t>
            </w:r>
            <w:r>
              <w:rPr>
                <w:rFonts w:hint="eastAsia" w:ascii="等线" w:hAnsi="等线" w:eastAsia="等线" w:cs="等线"/>
                <w:i w:val="0"/>
                <w:color w:val="000000"/>
                <w:sz w:val="20"/>
                <w:szCs w:val="20"/>
                <w:u w:val="none"/>
                <w:lang w:eastAsia="zh-CN"/>
              </w:rPr>
              <w:t>）</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eastAsia="zh-CN"/>
              </w:rPr>
              <w:t>党史研究及党史宣传教育</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等线" w:hAnsi="等线" w:eastAsia="等线" w:cs="等线"/>
                <w:i w:val="0"/>
                <w:color w:val="000000"/>
                <w:sz w:val="20"/>
                <w:szCs w:val="20"/>
                <w:u w:val="none"/>
                <w:lang w:eastAsia="zh-CN"/>
              </w:rPr>
            </w:pPr>
            <w:r>
              <w:rPr>
                <w:rFonts w:hint="eastAsia" w:ascii="等线" w:hAnsi="等线" w:eastAsia="等线" w:cs="等线"/>
                <w:i w:val="0"/>
                <w:color w:val="000000"/>
                <w:sz w:val="20"/>
                <w:szCs w:val="20"/>
                <w:u w:val="none"/>
                <w:lang w:eastAsia="zh-CN"/>
              </w:rPr>
              <w:t>按计划完成</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等线" w:hAnsi="等线" w:eastAsia="等线" w:cs="等线"/>
                <w:i w:val="0"/>
                <w:color w:val="000000"/>
                <w:sz w:val="20"/>
                <w:szCs w:val="20"/>
                <w:u w:val="none"/>
              </w:rPr>
            </w:pPr>
            <w:r>
              <w:rPr>
                <w:rFonts w:hint="eastAsia" w:ascii="等线" w:hAnsi="等线" w:eastAsia="等线" w:cs="等线"/>
                <w:i w:val="0"/>
                <w:color w:val="000000"/>
                <w:sz w:val="20"/>
                <w:szCs w:val="20"/>
                <w:u w:val="none"/>
                <w:lang w:eastAsia="zh-CN"/>
              </w:rPr>
              <w:t>县委中心工作（</w:t>
            </w:r>
            <w:r>
              <w:rPr>
                <w:rFonts w:hint="eastAsia" w:ascii="等线" w:hAnsi="等线" w:eastAsia="等线" w:cs="等线"/>
                <w:i w:val="0"/>
                <w:color w:val="000000"/>
                <w:sz w:val="20"/>
                <w:szCs w:val="20"/>
                <w:u w:val="none"/>
                <w:lang w:val="en-US" w:eastAsia="zh-CN"/>
              </w:rPr>
              <w:t>6分</w:t>
            </w:r>
            <w:r>
              <w:rPr>
                <w:rFonts w:hint="eastAsia" w:ascii="等线" w:hAnsi="等线" w:eastAsia="等线" w:cs="等线"/>
                <w:i w:val="0"/>
                <w:color w:val="000000"/>
                <w:sz w:val="20"/>
                <w:szCs w:val="20"/>
                <w:u w:val="none"/>
                <w:lang w:eastAsia="zh-CN"/>
              </w:rPr>
              <w:t>）</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等线" w:hAnsi="等线" w:eastAsia="等线" w:cs="等线"/>
                <w:i w:val="0"/>
                <w:color w:val="000000"/>
                <w:sz w:val="20"/>
                <w:szCs w:val="20"/>
                <w:u w:val="none"/>
                <w:lang w:eastAsia="zh-CN"/>
              </w:rPr>
            </w:pPr>
            <w:r>
              <w:rPr>
                <w:rFonts w:hint="eastAsia" w:ascii="等线" w:hAnsi="等线" w:eastAsia="等线" w:cs="等线"/>
                <w:i w:val="0"/>
                <w:color w:val="000000"/>
                <w:sz w:val="20"/>
                <w:szCs w:val="20"/>
                <w:u w:val="none"/>
                <w:lang w:eastAsia="zh-CN"/>
              </w:rPr>
              <w:t>县委中心工作</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等线" w:hAnsi="等线" w:eastAsia="等线" w:cs="等线"/>
                <w:i w:val="0"/>
                <w:color w:val="000000"/>
                <w:sz w:val="20"/>
                <w:szCs w:val="20"/>
                <w:u w:val="none"/>
                <w:lang w:eastAsia="zh-CN"/>
              </w:rPr>
            </w:pPr>
            <w:r>
              <w:rPr>
                <w:rFonts w:hint="eastAsia" w:ascii="等线" w:hAnsi="等线" w:eastAsia="等线" w:cs="等线"/>
                <w:i w:val="0"/>
                <w:color w:val="000000"/>
                <w:sz w:val="20"/>
                <w:szCs w:val="20"/>
                <w:u w:val="none"/>
                <w:lang w:eastAsia="zh-CN"/>
              </w:rPr>
              <w:t>按要求完成</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5"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管理效率（52分）</w:t>
            </w:r>
          </w:p>
        </w:tc>
        <w:tc>
          <w:tcPr>
            <w:tcW w:w="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预算管理（25分）</w:t>
            </w: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预算编制（6分）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预算编制完整性（4分）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收入预算编制是否足额，是否将所有部门预算收入全部编入收入预算；②支出预算编制是否科学，是否是按人员经费按标准、日常公用经费按定额、专项经费按项目分别编制。③是否所有财政性资金及其配套资金采购货物、工程和服务支出编制了政府采购预算。④三公经费预算编制只减不增。每项达到目标值得1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r>
              <w:rPr>
                <w:rFonts w:hint="eastAsia" w:ascii="宋体" w:hAnsi="宋体" w:eastAsia="宋体" w:cs="宋体"/>
                <w:i w:val="0"/>
                <w:color w:val="000000"/>
                <w:sz w:val="20"/>
                <w:szCs w:val="20"/>
                <w:u w:val="none"/>
                <w:lang w:eastAsia="zh-CN"/>
              </w:rPr>
              <w:t>所有部门预算收入全部编入预算；科学编制预算；编制了政府采购预算；三公经费预算编制只减不增。</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预算科目设置合理性（2分）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①功能科目编制是否科学合理，编制到“项”；②经济科目的编制是否科学合理，编排至“款”。每项达到目标值得1分。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r>
              <w:rPr>
                <w:rFonts w:hint="eastAsia" w:ascii="宋体" w:hAnsi="宋体" w:eastAsia="宋体" w:cs="宋体"/>
                <w:i w:val="0"/>
                <w:color w:val="000000"/>
                <w:sz w:val="20"/>
                <w:szCs w:val="20"/>
                <w:u w:val="none"/>
                <w:lang w:eastAsia="zh-CN"/>
              </w:rPr>
              <w:t>功能科目编制到项，经济科目编制到款</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预算执行（16分）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预算执行率（12分）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预算执行率=（预算执行数/预算数）×100%。得分=指标实际完成值×12。其中，预算执行数指部门本年度实际执行的预算数；预算数指财政部门批复的本年度部门的预算数。</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100%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预算调整率（2分）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调整率=（预算调整数/预算数）×100%。得分=指标实际完成值×2。预算调整数：部门在本年度内涉及预算的追加、追减或结构调整的资金总和（因落实国家政策、发生不可抗力、上级部门或本级党委政府临时交办而产生的调整除外）。比率等于0，得满分；比率在0%-10%之间的，得1.5分；比率在10%-20%之间的，得1分；比率在20%-30%之间的，得0.5分；比率大于30%，得0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lang w:val="en-US" w:eastAsia="zh-CN"/>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结转结余变动率（2分）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结转结余变动率=[（本年度累计结转结余资金总额-上年度累计结转结余资金总额）/上年度累计结转结余资金总额]×100%；比率小于等于0，得2分；比率大于0，得0分。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大于0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部门决算（1分）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部门决算编报质量（1分）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①是否按照相关编审要求报送；②部门决算编报的单位范围和资金范围是否符合相关要求。每项达到目标值得0.5分。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r>
              <w:rPr>
                <w:rFonts w:hint="eastAsia" w:ascii="等线" w:hAnsi="等线" w:eastAsia="等线" w:cs="等线"/>
                <w:color w:val="000000"/>
                <w:sz w:val="20"/>
                <w:szCs w:val="20"/>
              </w:rPr>
              <w:t>已</w:t>
            </w:r>
            <w:r>
              <w:rPr>
                <w:rFonts w:hint="eastAsia" w:ascii="宋体" w:hAnsi="宋体" w:eastAsia="宋体" w:cs="宋体"/>
                <w:i w:val="0"/>
                <w:color w:val="000000"/>
                <w:sz w:val="20"/>
                <w:szCs w:val="20"/>
                <w:u w:val="none"/>
                <w:lang w:val="en-US" w:eastAsia="zh-CN"/>
              </w:rPr>
              <w:t>按照相关编审要求报送；部门决算编报的单位范围和资金范围符合相关要求。</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预算改革（2分）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三年滚动财政规划（1分）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按文件规定编制了本部门（单位）中期财政规划得1分。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r>
              <w:rPr>
                <w:rFonts w:hint="default" w:ascii="宋体" w:hAnsi="宋体" w:eastAsia="宋体" w:cs="宋体"/>
                <w:i w:val="0"/>
                <w:color w:val="000000"/>
                <w:sz w:val="20"/>
                <w:szCs w:val="20"/>
                <w:u w:val="none"/>
                <w:lang w:val="en-US" w:eastAsia="zh-CN"/>
              </w:rPr>
              <w:t>按文件规定编制了本部门（单位）中期财政规划</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政府部门财务报告（1分）</w:t>
            </w:r>
          </w:p>
        </w:tc>
        <w:tc>
          <w:tcPr>
            <w:tcW w:w="3022"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按文件规定编制了政府部门财务报告得1分。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r>
              <w:rPr>
                <w:rFonts w:hint="default" w:ascii="宋体" w:hAnsi="宋体" w:eastAsia="宋体" w:cs="宋体"/>
                <w:i w:val="0"/>
                <w:color w:val="000000"/>
                <w:sz w:val="20"/>
                <w:szCs w:val="20"/>
                <w:u w:val="none"/>
                <w:lang w:val="en-US" w:eastAsia="zh-CN"/>
              </w:rPr>
              <w:t>按文件规定编制了政府部门财务报告</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收支管理（5分）</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收入管理（2分）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收入管理规范性（2分）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财政拨款收入、事业收入、上级补助收入、下属单位上缴收入、经营收入及其他收入管理是否符合财务规定。达到目标值得2分。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r>
              <w:rPr>
                <w:rFonts w:hint="eastAsia" w:ascii="宋体" w:hAnsi="宋体" w:eastAsia="宋体" w:cs="宋体"/>
                <w:i w:val="0"/>
                <w:color w:val="000000"/>
                <w:sz w:val="20"/>
                <w:szCs w:val="20"/>
                <w:u w:val="none"/>
                <w:lang w:val="en-US" w:eastAsia="zh-CN"/>
              </w:rPr>
              <w:t>财政拨款收入、上级补助收入及其他收入管理符合财务规定</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支出管理（3分）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支出管理规范性（2分）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基本支出和项目支出是否符合财务规定及相关制度办法的有关规定。达到目标值得2分。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r>
              <w:rPr>
                <w:rFonts w:hint="eastAsia" w:ascii="宋体" w:hAnsi="宋体" w:eastAsia="宋体" w:cs="宋体"/>
                <w:i w:val="0"/>
                <w:color w:val="000000"/>
                <w:sz w:val="20"/>
                <w:szCs w:val="20"/>
                <w:u w:val="none"/>
                <w:lang w:val="en-US" w:eastAsia="zh-CN"/>
              </w:rPr>
              <w:t>基本支出和项目支出符合财务规定及相关制度办法的有关规定。</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重点支出结构合理性（1分）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重点项目支出是否合理（重点支出保障率=（重点项目支出/项目总支出）×100%）；得分=指标实际完成值×1。</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r>
              <w:rPr>
                <w:rFonts w:hint="eastAsia" w:ascii="宋体" w:hAnsi="宋体" w:eastAsia="宋体" w:cs="宋体"/>
                <w:i w:val="0"/>
                <w:color w:val="000000"/>
                <w:sz w:val="20"/>
                <w:szCs w:val="20"/>
                <w:u w:val="none"/>
                <w:lang w:val="en-US" w:eastAsia="zh-CN"/>
              </w:rPr>
              <w:t>重点项目支出合理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0" w:hRule="atLeast"/>
        </w:trPr>
        <w:tc>
          <w:tcPr>
            <w:tcW w:w="67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管理效率（52分）</w:t>
            </w:r>
          </w:p>
        </w:tc>
        <w:tc>
          <w:tcPr>
            <w:tcW w:w="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财务管理（6分）</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制度完备（1.5分）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财务管理制度的完备性（1.5分）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资金的拨付和使用是否有比较完整的审批程序和手续；②财务核算符合财经法规和财务管理制度及专项资金管理有关规定；③部门基础数据信息和会计信息资料的真实性、完整性、准确性，能否对预算管理工作起到很好的支撑作用。每项达到目标值得0.5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r>
              <w:rPr>
                <w:rFonts w:hint="eastAsia" w:ascii="宋体" w:hAnsi="宋体" w:eastAsia="宋体" w:cs="宋体"/>
                <w:i w:val="0"/>
                <w:color w:val="000000"/>
                <w:sz w:val="20"/>
                <w:szCs w:val="20"/>
                <w:u w:val="none"/>
                <w:lang w:val="en-US" w:eastAsia="zh-CN"/>
              </w:rPr>
              <w:t>资金的拨付和使用有比较完整的审批程序和手续；财务核算符合财经法规和财务管理制度及专项资金管理有关规定；部门基础数据信息和会计信息资料的真实性、完整性、准确性，能对预算管理工作起到很好的支撑作用。</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采购管理（2分）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政府采购执行率（2分）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政府采购执行率=（实际政府采购金额/政府采购预算数）×100%；得分=指标实际完成值×2。</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内部控制（2.5分）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内控制度有效性（2.5分）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预算业务控制：单位是否建立健全预算编制、审批、执行、决算与评价等预算内部管理制度；②收支业务控制：单位是否建立健全收入、支出内部管理制度；③政府采购业务控制：单位是否建立健全政府采购预算与计划管理、政府采购活动管理、验收管理等政府采购内部管理制度；④资产控制：单位是否建立健全资产内部管理制度；上述每项达到目标值得0.5分。⑤上述内部控制管理制度是否执行到位有效。达到目标值得0.5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r>
              <w:rPr>
                <w:rFonts w:hint="eastAsia" w:ascii="宋体" w:hAnsi="宋体" w:eastAsia="宋体" w:cs="宋体"/>
                <w:i w:val="0"/>
                <w:color w:val="000000"/>
                <w:sz w:val="20"/>
                <w:szCs w:val="20"/>
                <w:u w:val="none"/>
                <w:lang w:eastAsia="zh-CN"/>
              </w:rPr>
              <w:t>建立了内部控制制度，内部控制制度评价结果为中</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资产管理（4分）</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规范管理（2分）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资产管理规范性（2分）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资产保存是否完整，是否定期对固定资产进行清查，是否有因管理不当发生严重资产损失和丢失的情况；②是否存在超标准配置资产；③资产使用是否规范，是否存在未经批准擅自出租、出借资产行为；④资产处置是否规范，是否存在不按要求进行报批或资产不公开处置行为。达到目标值得0.5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eastAsia="zh-CN"/>
              </w:rPr>
              <w:t>资产管理符合相关规定。</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有效使用（2分）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部门固定资产利用率（2分）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部门固定资产利用率=（部门实际在用固定资产总额/部门所有固定资产总额）×100%；得分=指标实际完成值×2。</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100%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成本控制（12分）</w:t>
            </w: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机构运转成本调控（12分）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一般性支出变动率（5分）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一般性支出变动率=[（本年度一般性支出-上年度一般性支出） /本年度一般性支出]×100%；比率小于等于0，得5分；比率大于0，得0分。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eastAsia="zh-CN"/>
              </w:rPr>
              <w:t>小于</w:t>
            </w:r>
            <w:r>
              <w:rPr>
                <w:rFonts w:hint="eastAsia" w:ascii="等线" w:hAnsi="等线" w:eastAsia="等线" w:cs="等线"/>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人均公用经费变动率（3分）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人均公用经费变动率=[（本年度人均公用经费-上年度人均公用经费） /上年度人均公用经费]×100%；比率小于等于0，得3分；比率大于0，得0分。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eastAsia="zh-CN"/>
              </w:rPr>
              <w:t>小于</w:t>
            </w:r>
            <w:r>
              <w:rPr>
                <w:rFonts w:hint="eastAsia" w:ascii="等线" w:hAnsi="等线" w:eastAsia="等线" w:cs="等线"/>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“三公经费”变动率（4分）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“三公经费”变动率=[（本年度“三公经费”总额-上年度“三公经费”总额） /上年度“三公经费”总额]×100%；比率小于等于0，得4分；比率大于0，得0分。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eastAsia="zh-CN"/>
              </w:rPr>
              <w:t>小于</w:t>
            </w:r>
            <w:r>
              <w:rPr>
                <w:rFonts w:hint="eastAsia" w:ascii="等线" w:hAnsi="等线" w:eastAsia="等线" w:cs="等线"/>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67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服务满意（8分）</w:t>
            </w:r>
          </w:p>
        </w:tc>
        <w:tc>
          <w:tcPr>
            <w:tcW w:w="786"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服务对象满意</w:t>
            </w:r>
          </w:p>
        </w:tc>
        <w:tc>
          <w:tcPr>
            <w:tcW w:w="96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公众满意度（4分）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公众满意度百分比</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eastAsia" w:ascii="宋体" w:hAnsi="宋体" w:eastAsia="宋体" w:cs="宋体"/>
                <w:i w:val="0"/>
                <w:color w:val="000000"/>
                <w:kern w:val="0"/>
                <w:sz w:val="20"/>
                <w:szCs w:val="20"/>
                <w:u w:val="none"/>
                <w:lang w:val="en-US" w:eastAsia="zh-CN" w:bidi="ar"/>
              </w:rPr>
              <w:t>95%（含）以上计4分；85%（含）-95%，计3分；75%（含）-85%，计1分；低于75%计0分。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r>
              <w:rPr>
                <w:rFonts w:hint="eastAsia" w:ascii="宋体" w:hAnsi="宋体" w:eastAsia="宋体" w:cs="宋体"/>
                <w:i w:val="0"/>
                <w:color w:val="000000"/>
                <w:sz w:val="20"/>
                <w:szCs w:val="20"/>
                <w:u w:val="none"/>
                <w:lang w:eastAsia="zh-CN"/>
              </w:rPr>
              <w:t>服务对象满意度</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r>
              <w:rPr>
                <w:rFonts w:hint="eastAsia" w:ascii="宋体" w:hAnsi="宋体" w:eastAsia="宋体" w:cs="宋体"/>
                <w:i w:val="0"/>
                <w:color w:val="000000"/>
                <w:sz w:val="20"/>
                <w:szCs w:val="20"/>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利益相关方满意</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eastAsia" w:ascii="宋体" w:hAnsi="宋体" w:eastAsia="宋体" w:cs="宋体"/>
                <w:i w:val="0"/>
                <w:color w:val="000000"/>
                <w:kern w:val="0"/>
                <w:sz w:val="20"/>
                <w:szCs w:val="20"/>
                <w:u w:val="none"/>
                <w:lang w:val="en-US" w:eastAsia="zh-CN" w:bidi="ar"/>
              </w:rPr>
              <w:t>利益相关方满意度（4分）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社会公众投诉率或投诉次数</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投诉率或投诉次数=0，得4分；投诉率或投诉次数&gt;0，得0分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r>
              <w:rPr>
                <w:rFonts w:hint="eastAsia" w:ascii="宋体" w:hAnsi="宋体" w:eastAsia="宋体" w:cs="宋体"/>
                <w:i w:val="0"/>
                <w:color w:val="000000"/>
                <w:sz w:val="20"/>
                <w:szCs w:val="20"/>
                <w:u w:val="none"/>
                <w:lang w:eastAsia="zh-CN"/>
              </w:rPr>
              <w:t>无投诉</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r>
              <w:rPr>
                <w:rFonts w:hint="eastAsia" w:ascii="宋体" w:hAnsi="宋体" w:eastAsia="宋体" w:cs="宋体"/>
                <w:i w:val="0"/>
                <w:color w:val="000000"/>
                <w:sz w:val="20"/>
                <w:szCs w:val="20"/>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可持续性（5分）</w:t>
            </w: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可持续性影响程度</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eastAsia" w:ascii="宋体" w:hAnsi="宋体" w:eastAsia="宋体" w:cs="宋体"/>
                <w:i w:val="0"/>
                <w:color w:val="000000"/>
                <w:kern w:val="0"/>
                <w:sz w:val="20"/>
                <w:szCs w:val="20"/>
                <w:u w:val="none"/>
                <w:lang w:val="en-US" w:eastAsia="zh-CN" w:bidi="ar"/>
              </w:rPr>
              <w:t>持续发挥作用的期限（5分）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公众受益覆盖面</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eastAsia" w:ascii="宋体" w:hAnsi="宋体" w:eastAsia="宋体" w:cs="宋体"/>
                <w:i w:val="0"/>
                <w:color w:val="000000"/>
                <w:kern w:val="0"/>
                <w:sz w:val="20"/>
                <w:szCs w:val="20"/>
                <w:u w:val="none"/>
                <w:lang w:val="en-US" w:eastAsia="zh-CN" w:bidi="ar"/>
              </w:rPr>
              <w:t>受益覆盖面达到95%（含）以上计5分；85%（含）-95%，计3分；75%（含）-85%，计1分；低于75%计0分。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r>
              <w:rPr>
                <w:rFonts w:hint="eastAsia" w:ascii="宋体" w:hAnsi="宋体" w:eastAsia="宋体" w:cs="宋体"/>
                <w:i w:val="0"/>
                <w:color w:val="000000"/>
                <w:sz w:val="20"/>
                <w:szCs w:val="20"/>
                <w:u w:val="none"/>
                <w:lang w:eastAsia="zh-CN"/>
              </w:rPr>
              <w:t>可持续性</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b/>
                <w:i w:val="0"/>
                <w:color w:val="000000"/>
                <w:sz w:val="20"/>
                <w:szCs w:val="20"/>
                <w:u w:val="none"/>
              </w:rPr>
            </w:pPr>
            <w:r>
              <w:rPr>
                <w:rFonts w:hint="default" w:ascii="等线" w:hAnsi="等线" w:eastAsia="等线" w:cs="等线"/>
                <w:b/>
                <w:i w:val="0"/>
                <w:color w:val="000000"/>
                <w:kern w:val="0"/>
                <w:sz w:val="20"/>
                <w:szCs w:val="20"/>
                <w:u w:val="none"/>
                <w:lang w:val="en-US" w:eastAsia="zh-CN" w:bidi="ar"/>
              </w:rPr>
              <w:t>减分项</w:t>
            </w: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监督检查、审计、绩效评价中发现的问题</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监督检查、审计、绩效评价中发现的问题</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在市级以上组织的监督检查、审计、绩效评价中发现部门资金管理方面存在问题或项目绩效目标未达成的，一个问题扣1分，不重复扣分。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等线" w:hAnsi="等线" w:eastAsia="等线" w:cs="等线"/>
                <w:i w:val="0"/>
                <w:color w:val="000000"/>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62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b/>
                <w:i w:val="0"/>
                <w:color w:val="000000"/>
                <w:sz w:val="20"/>
                <w:szCs w:val="20"/>
                <w:u w:val="none"/>
              </w:rPr>
            </w:pPr>
            <w:r>
              <w:rPr>
                <w:rFonts w:hint="default" w:ascii="等线" w:hAnsi="等线" w:eastAsia="等线" w:cs="等线"/>
                <w:b/>
                <w:i w:val="0"/>
                <w:color w:val="000000"/>
                <w:kern w:val="0"/>
                <w:sz w:val="20"/>
                <w:szCs w:val="20"/>
                <w:u w:val="none"/>
                <w:lang w:val="en-US" w:eastAsia="zh-CN" w:bidi="ar"/>
              </w:rPr>
              <w:t>总分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lang w:val="en-US" w:eastAsia="zh-CN"/>
              </w:rPr>
            </w:pPr>
            <w:r>
              <w:rPr>
                <w:rFonts w:hint="eastAsia" w:ascii="等线" w:hAnsi="等线" w:eastAsia="等线" w:cs="等线"/>
                <w:i w:val="0"/>
                <w:color w:val="000000"/>
                <w:sz w:val="20"/>
                <w:szCs w:val="20"/>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833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注：重点工作、服务满意、可持续性这三项单位根据年初目标实际情况设定指标和评分标准。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34DA2"/>
    <w:rsid w:val="24A34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2021-09-14T01:48:00Z</dcterms:created>
  <dc:creator>Administrator</dc:creator>
  <cp:lastModifiedBy>Administrator</cp:lastModifiedBy>
  <dcterms:modified xsi:type="dcterms:W3CDTF">2021-09-14T01:51:37Z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AF4F9626CE764C048B26321D74D9D287</vt:lpwstr>
  </property>
</Properties>
</file>