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部门整体支出绩效自评报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告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摘要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一、部门概况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（一）部门主要职责职能，组织架构、人员及资产等基本情况。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委党史办</w:t>
      </w:r>
      <w:r>
        <w:rPr>
          <w:rFonts w:hint="eastAsia" w:ascii="仿宋" w:hAnsi="仿宋" w:eastAsia="仿宋" w:cs="仿宋"/>
          <w:sz w:val="28"/>
          <w:szCs w:val="28"/>
        </w:rPr>
        <w:t>是主管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党史</w:t>
      </w:r>
      <w:r>
        <w:rPr>
          <w:rFonts w:hint="eastAsia" w:ascii="仿宋" w:hAnsi="仿宋" w:eastAsia="仿宋" w:cs="仿宋"/>
          <w:sz w:val="28"/>
          <w:szCs w:val="28"/>
        </w:rPr>
        <w:t>工作的县委直属机构，主要职责是：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贯彻执行县委和上级党史工作部门规定的有关方针政策与指示，制定长期和近期的党史工作规划，并负责具体贯彻实施全县党史工作，并督促有关单位党史工作完成，指导与协调同级有关部门的党史工作，搞好全县党史干部培训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2、征集整理全县的党史资料，进行地方党史研究，编辑出版地方党史和党史人物传记等书刊，为县委提供“资政”服务，为上级党史工作机构研究利用提供服务，为社会主义物质文明和精神文明服务。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3、结合党的中心工作，配合有关部门进行党史的宣传教育工作，充分发挥党史工作“资政育人”的社会功能。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>4、完成县委和上级党史部门交办的其它工作。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委党史办组织架构、人员：</w:t>
      </w:r>
      <w:r>
        <w:rPr>
          <w:rFonts w:hint="eastAsia" w:ascii="仿宋" w:hAnsi="仿宋" w:eastAsia="仿宋" w:cs="仿宋"/>
          <w:sz w:val="28"/>
          <w:szCs w:val="28"/>
        </w:rPr>
        <w:t>共有预算单位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个。编制人数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人，其中：行政编制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人；实有人数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人，其中：在职人数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人，包括行政人员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人；离休人员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人；退休人员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当年部门履职总体目标、工作任务。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1、认真完成县委、县政府交办的各项中心工作。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2、加强党史编撰与资料征集工作，力争完成《革命老区大余县发展史》的出版工作，做好《中国共产党大余历史（第二卷）》的出版前期工作。同时积极开展党史交流、学术研究工作。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3、开展党史宣传工作，积极传播红色文化。继续作好大余红色旅游开发工作和各项党史接待工作。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4、加强自身党建，提升思想作风和业务水平。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（三）当年部门年度整体支出绩效目标。</w:t>
      </w:r>
    </w:p>
    <w:p>
      <w:pPr>
        <w:pStyle w:val="2"/>
        <w:ind w:left="0" w:leftChars="0" w:firstLine="560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维持单位正常运转。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部门预算绩效管理开展情况。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按照文件要求，我办开展了部门预算绩效管理，情况较好。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当年部门预算及执行情况。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2020年部门预算安排金额为57.34万元，执行率100%。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二、部门整体支出绩效实现情况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（一）履职完成情况：从数量、质量、时效等方面归纳反映年度主要计划任务完成情况。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1.数量指标：工作经费覆盖率100%；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2.质量指标：工作经费投入合规率100%；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3.时效指标：工作经费投入及时性为及时。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（二）履职效果情况：从社会效益、经济效益（如有）、生态效益（如有）等方面反映部门履职效果的实现情况。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1.经济效益指标：业务处理效率100%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2.社会效益指标；党史普及率100%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（三）社会满意度及可持续性影响（如有）</w:t>
      </w:r>
    </w:p>
    <w:p>
      <w:pPr>
        <w:pStyle w:val="2"/>
        <w:ind w:left="0" w:leftChars="0" w:firstLine="560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社会满意度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及可持续影响皆为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三、部门整体支出绩效中存在问题及改进措施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（一）主要问题及原因分析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1.管理制度不够完善；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2.会计制度及预算法学习不够全面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改进的方向和具体措施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1.完善管理制度，进一步加强资产管理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一步贯彻落实中央八项规定，建立本部门“三公经费”等公务支出管理制度及厉行节约制度，加强经费审批和控制，规范支出标准与范围，并严格执行。不再出现“三公经费”超出预算的情况。严格按照《固定资产管理办法》的规定加强固定资产管理，及时登记、更新台账，加强资产卡片管理，年终前对各类实物资产进行全面盘点，确保账账、账实相符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2.加强新行政单位会计制度和新预算法学习培训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强新《中华人民共和国预算法》、《行政单位会计制度》等学习培训，规范部门预算收支核算，一是制定和完善基本支出、项目支出等各项支出标准，严格按项目和进度执行预算，增强预算的约束力和严肃性。二是落实预算执行分析，及时了解预算执行差异，合理调整、纠正预算执行偏差，切实提高我办部门预算收支管理水平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绩效自评结果拟应用和公开情况</w:t>
      </w:r>
    </w:p>
    <w:p>
      <w:pPr>
        <w:widowControl/>
        <w:spacing w:line="58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部门整体支出绩效自评得分9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，已公开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77A17"/>
    <w:multiLevelType w:val="singleLevel"/>
    <w:tmpl w:val="E1677A1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69EE3A"/>
    <w:multiLevelType w:val="singleLevel"/>
    <w:tmpl w:val="FC69EE3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YWU3NzQwMzg1ZGUxYmQ1ODc0Mjg1YmE3YmJlODYifQ=="/>
  </w:docVars>
  <w:rsids>
    <w:rsidRoot w:val="7DCF229F"/>
    <w:rsid w:val="14F875C2"/>
    <w:rsid w:val="5CF078AC"/>
    <w:rsid w:val="7BDD1396"/>
    <w:rsid w:val="7CA84A60"/>
    <w:rsid w:val="7DC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3"/>
    <w:qFormat/>
    <w:uiPriority w:val="99"/>
    <w:pPr>
      <w:spacing w:after="120"/>
      <w:ind w:left="420" w:leftChars="200"/>
    </w:pPr>
  </w:style>
  <w:style w:type="paragraph" w:styleId="3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2021-05-21T09:11:00Z</dcterms:created>
  <dc:creator>Administrator</dc:creator>
  <cp:lastModifiedBy>Administrator</cp:lastModifiedBy>
  <dcterms:modified xsi:type="dcterms:W3CDTF">2023-09-24T07:49:07Z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713BD60B448C47FAAEDC7C8B70FFE53C</vt:lpwstr>
  </property>
</Properties>
</file>