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786"/>
        <w:gridCol w:w="964"/>
        <w:gridCol w:w="1273"/>
        <w:gridCol w:w="3022"/>
        <w:gridCol w:w="908"/>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8336" w:type="dxa"/>
            <w:gridSpan w:val="7"/>
            <w:tcBorders>
              <w:bottom w:val="single" w:color="000000" w:sz="4" w:space="0"/>
            </w:tcBorders>
            <w:noWrap w:val="0"/>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部门整体支出绩效评价指标体系评分表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四级指标</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评分标准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评分依据及简要说明</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trPr>
        <w:tc>
          <w:tcPr>
            <w:tcW w:w="67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履职效能（35分）</w:t>
            </w: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工作目标（5分）</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目标设定（4分）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目标依据充分性（2分）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是否依据法律法规、社会经济发展的总体规划设定；②是否符合部门“三定”方案确定的部门工作职责；③是否符合部门制定的中长期规划及年度工作计划；④是否具有科学性和前瞻性。每项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目标设定符合规定</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工作目标合理性（2分）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①是否符合客观实际是否可实现、可完成；②是否将部门整体的工作目标细化分解，使其为可衡量、可比较。每项达到目标值得1分。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目标设定科实现可衡量</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目标管理（1分）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目标管理有效性（1分）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①是否有对目标进行责任分解的相关工作机制；②目标管理工作机制是否科学、合理，是否能有效保障目标执行和落地。每项达到目标值得0.5分。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目标管理科学合理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整体工作（15分）</w:t>
            </w:r>
          </w:p>
        </w:tc>
        <w:tc>
          <w:tcPr>
            <w:tcW w:w="96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整体工作完成（15分）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总体工作完成率（15分）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总体工作完成率=单位年度工作要点已完成的数量/单位年度工作要点工作总数量；得分=指标实际完成值×15。</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单位年度工作要点全部完成</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重点工作（15分）</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重点工作完成率</w:t>
            </w:r>
            <w:r>
              <w:rPr>
                <w:rFonts w:hint="eastAsia" w:ascii="等线" w:hAnsi="等线" w:eastAsia="等线" w:cs="等线"/>
                <w:i w:val="0"/>
                <w:color w:val="000000"/>
                <w:kern w:val="0"/>
                <w:sz w:val="20"/>
                <w:szCs w:val="20"/>
                <w:u w:val="none"/>
                <w:lang w:val="en-US" w:eastAsia="zh-CN" w:bidi="ar"/>
              </w:rPr>
              <w:t>在90%以上</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5"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管理效率（52分）</w:t>
            </w: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预算管理（25分）</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预算编制（6分）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预算编制完整性（4分）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收入预算编制是否足额，是否将所有部门预算收入全部编入收入预算；②支出预算编制是否科学，是否是按人员经费按标准、日常公用经费按定额、专项经费按项目分别编制。③是否所有财政性资金及其配套资金采购货物、工程和服务支出编制了政府采购预算。④三公经费预算编制只减不增。每项达到目标值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部门预算收入全部编入收入预算。支出预算编制科学，按项目分别编制</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预算科目设置合理性（2分）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①功能科目编制是否科学合理，编制到“项”；②经济科目的编制是否科学合理，编排至“款”。每项达到目标值得1分。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预算编制科学合理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预算执行（16分）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预算执行率（12分）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预算执行率=（预算执行数/预算数）×100%。得分=指标实际完成值×12。其中，预算执行数指部门本年度实际执行的预算数；预算数指财政部门批复的本年度部门的预算数。</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预算执行率为99%</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预算调整率（2分）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调整率=（预算调整数/预算数）×100%。得分=指标实际完成值×2。预算调整数：部门在本年度内涉及预算的追加、追减或结构调整的资金总和（因落实国家政策、发生不可抗力、上级部门或本级党委政府临时交办而产生的调整除外）。比率等于0，得满分；比率在0%-10%之间的，得1.5分；比率在10%-20%之间的，得1分；比率在20%-30%之间的，得0.5分；比率大于30%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结转结余变动率（2分）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结转结余变动率=[（本年度累计结转结余资金总额-上年度累计结转结余资金总额）/上年度累计结转结余资金总额]×100%；比率小于等于0，得2分；比率大于0，得0分。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结转结余变动率为1.27%</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部门决算（1分）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部门决算编报质量（1分）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①是否按照相关编审要求报送；②部门决算编报的单位范围和资金范围是否符合相关要求。每项达到目标值得0.5分。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及时报送决算且符合相关要求</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预算改革（2分）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三年滚动财政规划（1分）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按文件规定编制了本部门（单位）中期财政规划得1分。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符合规定</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政府部门财务报告（1分）</w:t>
            </w:r>
          </w:p>
        </w:tc>
        <w:tc>
          <w:tcPr>
            <w:tcW w:w="302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按文件规定编制了政府部门财务报告得1分。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及时编制</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收支管理（5分）</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收入管理（2分）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收入管理规范性（2分）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财政拨款收入、事业收入、上级补助收入、下属单位上缴收入、经营收入及其他收入管理是否符合财务规定。达到目标值得2分。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符合规定</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支出管理（3分）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支出管理规范性（2分）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基本支出和项目支出是否符合财务规定及相关制度办法的有关规定。达到目标值得2分。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符合规定</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重点支出结构合理性（1分）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重点项目支出是否合理（重点支出保障率=（重点项目支出/项目总支出）×100%）；得分=指标实际完成值×1。</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合理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trPr>
        <w:tc>
          <w:tcPr>
            <w:tcW w:w="67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管理效率（52分）</w:t>
            </w: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财务管理（6分）</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制度完备（1.5分）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财务管理制度的完备性（1.5分）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资金的拨付和使用是否有比较完整的审批程序和手续；②财务核算符合财经法规和财务管理制度及专项资金管理有关规定；③部门基础数据信息和会计信息资料的真实性、完整性、准确性，能否对预算管理工作起到很好的支撑作用。每项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程序合理，符合规定</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采购管理（2分）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政府采购执行率（2分）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政府采购执行率=（实际政府采购金额/政府采购预算数）×100%；得分=指标实际完成值×2。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严格执行</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内部控制（2.5分）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内控制度有效性（2.5分）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预算业务控制：单位是否建立健全预算编制、审批、执行、决算与评价等预算内部管理制度；②收支业务控制：单位是否建立健全收入、支出内部管理制度；③政府采购业务控制：单位是否建立健全政府采购预算与计划管理、政府采购活动管理、验收管理等政府采购内部管理制度；④资产控制：单位是否建立健全资产内部管理制度；上述每项达到目标值得0.5分。⑤上述内部控制管理制度是否执行到位有效。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严格进行内部控制</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资产管理（4分）</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规范管理（2分）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资产管理规范性（2分）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①资产保存是否完整，是否定期对固定资产进行清查，是否有因管理不当发生严重资产损失和丢失的情况；②是否存在超标准配置资产；③资产使用是否规范，是否存在未经批准擅自出租、出借资产行为；④资产处置是否规范，是否存在不按要求进行报批或资产不公开处置行为。达到目标值得0.5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资产管理规范</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有效使用（2分）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部门固定资产利用率（2分）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部门固定资产利用率=（部门实际在用固定资产总额/部门所有固定资产总额）×100%；得分=指标实际完成值×2。</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利用率100%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成本控制（12分）</w:t>
            </w:r>
          </w:p>
        </w:tc>
        <w:tc>
          <w:tcPr>
            <w:tcW w:w="9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机构运转成本调控（12分）</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一般性支出变动率（5分）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一般性支出变动率=[（本年度一般性支出-上年度一般性支出） /本年度一般性支出]×100%；比率小于等于0，得5分；比率大于0，得0分。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比率小于0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人均公用经费变动率（3分）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人均公用经费变动率=[（本年度人均公用经费-上年度人均公用经费） /上年度人均公用经费]×100%；比率小于等于0，得3分；比率大于0，得0分。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比率小于0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5"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“三公经费”变动率（4分）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“三公经费”变动率=[（本年度“三公经费”总额-上年度“三公经费”总额） /上年度“三公经费”总额]×100%；比率小于等于0，得4分；比率大于0，得0分。</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比率小于0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67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服务满意（8分）</w:t>
            </w:r>
          </w:p>
        </w:tc>
        <w:tc>
          <w:tcPr>
            <w:tcW w:w="786"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服务对象满意</w:t>
            </w:r>
          </w:p>
        </w:tc>
        <w:tc>
          <w:tcPr>
            <w:tcW w:w="964" w:type="dxa"/>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公众满意95%以上</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675" w:type="dxa"/>
            <w:vMerge w:val="continue"/>
            <w:tcBorders>
              <w:top w:val="single" w:color="000000" w:sz="4" w:space="0"/>
              <w:left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利益相关方满意</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投诉为0</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可持续性（5分）</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等线" w:cs="等线"/>
                <w:i w:val="0"/>
                <w:color w:val="000000"/>
                <w:sz w:val="20"/>
                <w:szCs w:val="20"/>
                <w:u w:val="none"/>
              </w:rPr>
            </w:pP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覆盖面达95%以上</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0"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i w:val="0"/>
                <w:color w:val="000000"/>
                <w:sz w:val="20"/>
                <w:szCs w:val="20"/>
                <w:u w:val="none"/>
              </w:rPr>
            </w:pPr>
            <w:r>
              <w:rPr>
                <w:rFonts w:hint="default" w:ascii="等线" w:hAnsi="等线" w:eastAsia="等线" w:cs="等线"/>
                <w:b/>
                <w:i w:val="0"/>
                <w:color w:val="000000"/>
                <w:kern w:val="0"/>
                <w:sz w:val="20"/>
                <w:szCs w:val="20"/>
                <w:u w:val="none"/>
                <w:lang w:val="en-US" w:eastAsia="zh-CN" w:bidi="ar"/>
              </w:rPr>
              <w:t>减分项</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监督检查、审计、绩效评价中发现的问题</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监督检查、审计、绩效评价中发现的问题</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在市级以上组织的监督检查、审计、绩效评价中发现部门资金管理方面存在问题或项目绩效目标未达成的，一个问题扣1分，不重复扣分。</w:t>
            </w:r>
          </w:p>
        </w:tc>
        <w:tc>
          <w:tcPr>
            <w:tcW w:w="302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无</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i w:val="0"/>
                <w:color w:val="000000"/>
                <w:kern w:val="0"/>
                <w:sz w:val="20"/>
                <w:szCs w:val="20"/>
                <w:u w:val="none"/>
                <w:lang w:val="en-US" w:eastAsia="zh-CN" w:bidi="ar"/>
              </w:rPr>
            </w:pPr>
            <w:r>
              <w:rPr>
                <w:rFonts w:hint="eastAsia" w:ascii="等线" w:hAnsi="等线" w:eastAsia="等线" w:cs="等线"/>
                <w:i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7628"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等线" w:hAnsi="等线" w:eastAsia="等线" w:cs="等线"/>
                <w:b/>
                <w:i w:val="0"/>
                <w:color w:val="000000"/>
                <w:sz w:val="20"/>
                <w:szCs w:val="20"/>
                <w:u w:val="none"/>
              </w:rPr>
            </w:pPr>
            <w:r>
              <w:rPr>
                <w:rFonts w:hint="default" w:ascii="等线" w:hAnsi="等线" w:eastAsia="等线" w:cs="等线"/>
                <w:b/>
                <w:i w:val="0"/>
                <w:color w:val="000000"/>
                <w:kern w:val="0"/>
                <w:sz w:val="20"/>
                <w:szCs w:val="20"/>
                <w:u w:val="none"/>
                <w:lang w:val="en-US" w:eastAsia="zh-CN" w:bidi="ar"/>
              </w:rPr>
              <w:t>总分</w:t>
            </w:r>
          </w:p>
        </w:tc>
        <w:tc>
          <w:tcPr>
            <w:tcW w:w="7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等线" w:hAnsi="等线" w:eastAsia="宋体" w:cs="等线"/>
                <w:i w:val="0"/>
                <w:color w:val="000000"/>
                <w:sz w:val="20"/>
                <w:szCs w:val="20"/>
                <w:u w:val="none"/>
                <w:lang w:val="en-US" w:eastAsia="zh-CN"/>
              </w:rPr>
            </w:pPr>
            <w:r>
              <w:rPr>
                <w:rFonts w:hint="eastAsia" w:ascii="等线" w:hAnsi="等线" w:cs="等线"/>
                <w:i w:val="0"/>
                <w:color w:val="000000"/>
                <w:sz w:val="20"/>
                <w:szCs w:val="20"/>
                <w:u w:val="none"/>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833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注：重点工作、服务满意、可持续性这三项单位根据年初目标实际情况设定指标和评分标准。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4C4ED3"/>
    <w:rsid w:val="47906407"/>
    <w:rsid w:val="7A2166F9"/>
    <w:rsid w:val="7CF90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2021-05-20T07:24:00Z</dcterms:created>
  <dc:creator>Administrator</dc:creator>
  <cp:lastModifiedBy>Administrator</cp:lastModifiedBy>
  <dcterms:modified xsi:type="dcterms:W3CDTF">2021-05-20T07:36:47Z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