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大余县卫健委202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本年度报告依据《中华人民共和国政府信息公开条例》第五十条之规定，结合有关统计数据编制。本年度报告中所列数据的统计期限自202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大余县人民政府网站（http://www.jxdy.gov.cn）下载。如对本报告有任何疑问，请与大余县卫健委办公室联系（地址：江西省赣州市大余县南安大道西华路86号，电话：8722826，邮编：341500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在县委、县政府的坚强领导下，大余县卫健委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始终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以习近平新时代中国特色社会主义思想为指导，严格落实《国务院办公厅印发〈关于全面推进政务公开工作的意见〉实施细则的通知》（国办发〔2016〕80号）和《国务院办公厅关于印发2021年政务公开工作要点的通知》（国办发〔2021〕12号）的要求。现将今年工作开展情况汇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大余县卫健委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依据《政府信息公开条例》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积极主动开展信息公开工作。严格落实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自信息产生之日起在20个工作日内主动公开政府信息；今年以来共在县政府信息公开网站上公开各类信息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sz w:val="32"/>
          <w:szCs w:val="32"/>
        </w:rPr>
        <w:t>平均每月公开信息达50余条，保证了无信息发布“空白月”。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其中疫情防控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条，财政预决算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条，医疗卫生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条。在“网络问政”栏目回复网友问题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条，均按时办结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（二）依申请公开方面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切实转变观念，强化服务理念，增强宗旨意识，提升依申请公开工作服务作用，保障申请人合法权益，更好满足申请人对政府信息的个性化合理需求。实行依申请公开“登记制”，做到有申请必登记、有登记必答复、有答复必归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按照新修订的《中华人民共和国政府信息公开条例》要求，全面梳理应当主动公开的政府信息，进一步规范依申请公开工作，建立健全接收、登记、办理、答复等流程，依法保障公民、法人和其他组织获取政府信息。本年度未发生针对本部门因政府信息公开事务的行政复议案、行政诉讼案和有关的申诉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（四）平台建设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把县人民政府信息公开网站作为政务信息公开的第一平台，同时，开通了县卫健委“大余卫生健康”官方公众号，把大量的卫生健康工作信息动态在第一时间提炼发布，搭建了多层次，广覆盖、及时、准确、全面、权威的信息发布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一是积极更新完善政务公开相关工作制度，以制度保障本部门政府信息及时、准确发布。二是根据全市2021年政务公开工作要点，及时梳理本系统政务公开重点工作及任务分工，严格按照重点工作任务抓落实。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二、主动公开政府信息情况</w:t>
      </w:r>
    </w:p>
    <w:tbl>
      <w:tblPr>
        <w:tblStyle w:val="4"/>
        <w:tblW w:w="92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2"/>
        <w:gridCol w:w="2379"/>
        <w:gridCol w:w="2599"/>
        <w:gridCol w:w="22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2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2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本年制发件数</w:t>
            </w:r>
          </w:p>
        </w:tc>
        <w:tc>
          <w:tcPr>
            <w:tcW w:w="25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本年废止件数</w:t>
            </w:r>
          </w:p>
        </w:tc>
        <w:tc>
          <w:tcPr>
            <w:tcW w:w="2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规    章</w:t>
            </w:r>
          </w:p>
        </w:tc>
        <w:tc>
          <w:tcPr>
            <w:tcW w:w="2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行政规范性文件</w:t>
            </w:r>
          </w:p>
        </w:tc>
        <w:tc>
          <w:tcPr>
            <w:tcW w:w="2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行政许可</w:t>
            </w:r>
          </w:p>
        </w:tc>
        <w:tc>
          <w:tcPr>
            <w:tcW w:w="72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default"/>
                <w:i w:val="0"/>
                <w:iCs w:val="0"/>
                <w:color w:val="505050"/>
                <w:u w:val="none"/>
                <w:lang w:val="en-US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行政处罚</w:t>
            </w:r>
          </w:p>
        </w:tc>
        <w:tc>
          <w:tcPr>
            <w:tcW w:w="72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rFonts w:hint="default"/>
                <w:i w:val="0"/>
                <w:iCs w:val="0"/>
                <w:color w:val="505050"/>
                <w:u w:val="none"/>
                <w:lang w:val="en-US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287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行政强制</w:t>
            </w:r>
          </w:p>
        </w:tc>
        <w:tc>
          <w:tcPr>
            <w:tcW w:w="72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92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20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行政事业性收费</w:t>
            </w:r>
          </w:p>
        </w:tc>
        <w:tc>
          <w:tcPr>
            <w:tcW w:w="720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4"/>
        <w:tblW w:w="9244" w:type="dxa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9"/>
        <w:gridCol w:w="936"/>
        <w:gridCol w:w="1719"/>
        <w:gridCol w:w="506"/>
        <w:gridCol w:w="589"/>
        <w:gridCol w:w="575"/>
        <w:gridCol w:w="603"/>
        <w:gridCol w:w="645"/>
        <w:gridCol w:w="1062"/>
        <w:gridCol w:w="179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77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自然人</w:t>
            </w:r>
          </w:p>
        </w:tc>
        <w:tc>
          <w:tcPr>
            <w:tcW w:w="34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347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商业企业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科研机构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10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both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三、本年度办理结果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（一）予以公开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（二）部分公开（区分处理的，只记这一情形，不记其他情形）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1.属于国家秘密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2.其他法律行政法规禁止公开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8.属于行政查询事项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（四）无法提供</w:t>
            </w: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3.补正后申请内容仍不明确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1.信访投诉举报类申请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2.重复申请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50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17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7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5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5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0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eastAsia="仿宋_GB2312" w:cs="仿宋_GB2312" w:hAnsiTheme="minorHAnsi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10530" w:type="dxa"/>
        <w:tblInd w:w="-75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720"/>
        <w:gridCol w:w="675"/>
        <w:gridCol w:w="705"/>
        <w:gridCol w:w="705"/>
        <w:gridCol w:w="696"/>
        <w:gridCol w:w="774"/>
        <w:gridCol w:w="675"/>
        <w:gridCol w:w="660"/>
        <w:gridCol w:w="720"/>
        <w:gridCol w:w="720"/>
        <w:gridCol w:w="660"/>
        <w:gridCol w:w="705"/>
        <w:gridCol w:w="675"/>
        <w:gridCol w:w="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70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2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结果维护</w:t>
            </w:r>
          </w:p>
        </w:tc>
        <w:tc>
          <w:tcPr>
            <w:tcW w:w="7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35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35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结果维护</w:t>
            </w:r>
          </w:p>
        </w:tc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结果维护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结果纠正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其他结果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尚未审结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505050"/>
                <w:spacing w:val="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540" w:lineRule="atLeas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505050"/>
                <w:spacing w:val="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五、存在的主要问题及改进情况</w:t>
      </w:r>
    </w:p>
    <w:p>
      <w:pPr>
        <w:bidi w:val="0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一是主动公开的信息内容与职工群众日益增长的需求还有一定差距，公开的形式还需多样化；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是对本系统工作宣传展示不够。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后我委将会通过以下方式进行改进：一是坚持常态化公开信息。加强信息公开的全面性、及时性、准确性、规范性，常态化公开应主动公开的信息，规范依申请公开信息的处理流程。同时进一步拓展信息公开的广度和深度。二是进一步扩大公开范围。进一步细化公开内容切实提高信息公开的质量和实效，不断满足人民群众需求。三是提升信息公开工作的效率和质量。大力提高政务信息公开人员队伍的综合素质和技术能力。加强对最新政策的解读，增强推送信息的时效性和针对性，提高对信息公开的工作效率，及时回应社会关切的卫生健康相关问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无</w:t>
      </w:r>
    </w:p>
    <w:p/>
    <w:sectPr>
      <w:pgSz w:w="11906" w:h="16838"/>
      <w:pgMar w:top="1587" w:right="1587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ZWI4ZjRhNzlkZDYxYTE1ZTY3NzNhNTM4MjNiY2QifQ=="/>
  </w:docVars>
  <w:rsids>
    <w:rsidRoot w:val="64113A47"/>
    <w:rsid w:val="085B1D6F"/>
    <w:rsid w:val="17FE43BF"/>
    <w:rsid w:val="25B54415"/>
    <w:rsid w:val="41E641B6"/>
    <w:rsid w:val="43000F6E"/>
    <w:rsid w:val="64113A47"/>
    <w:rsid w:val="7DD06079"/>
    <w:rsid w:val="7F5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2095</Words>
  <Characters>2194</Characters>
  <Lines>0</Lines>
  <Paragraphs>0</Paragraphs>
  <TotalTime>116</TotalTime>
  <ScaleCrop>false</ScaleCrop>
  <LinksUpToDate>false</LinksUpToDate>
  <CharactersWithSpaces>2195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2023-01-31T07:28:00Z</dcterms:created>
  <dc:creator>罗</dc:creator>
  <cp:lastModifiedBy>罗</cp:lastModifiedBy>
  <dcterms:modified xsi:type="dcterms:W3CDTF">2023-01-31T10:29:47Z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E679BE14B35D4D6CA651B109771AC564</vt:lpwstr>
  </property>
</Properties>
</file>