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Fonts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部门整体支出绩效自评报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告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摘要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一、部门概况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（一）部门主要职责职能，组织架构、人员及资产等基本情况。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县委党史办是主管党史工作的县委直属机构，主要职责是：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贯彻执行县委和上级党史工作部门规定的有关方针政策与指示，制定长期和近期的党史工作规划，并负责具体贯彻实施全县党史工作，并督促有关单位党史工作完成，指导与协调同级有关部门的党史工作，搞好全县党史干部培训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2、征集整理全县的党史资料，进行地方党史研究，编辑出版地方党史和党史人物传记等书刊，为县委提供“资政”服务，为上级党史工作机构研究利用提供服务，为社会主义物质文明和精神文明服务。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3、结合党的中心工作，配合有关部门进行党史的宣传教育工作，充分发挥党史工作“资政育人”的社会功能。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4、完成县委和上级党史部门交办的其它工作。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县委党史办组织架构、人员：共有预算单位1个。编制人数3人，其中：行政编制3人；实有人数8人，其中：在职人数3人，包括行政人员3人；离休人员1人；退休人员4人。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（二）当年部门履职总体目标、工作任务。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1、认真完成县委、县政府交办的各项中心工作。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2、加强党史编撰与资料征集工作，力争完成《革命老区大余县发展史》的出版工作，做好《中国共产党大余历史（第二卷）》的出版前期工作。同时积极开展党史交流、学术研究工作。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3、开展党史宣传工作，积极传播红色文化。继续作好大余红色旅游开发工作和各项党史接待工作。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4、加强自身党建，提升思想作风和业务水平。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（三）当年部门年度整体支出绩效目标。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560" w:firstLineChars="200"/>
      </w:pPr>
      <w:r>
        <w:rPr>
          <w:rFonts w:hint="eastAsia" w:ascii="仿宋" w:hAnsi="仿宋" w:eastAsia="仿宋" w:cs="仿宋"/>
          <w:kern w:val="2"/>
          <w:sz w:val="28"/>
          <w:szCs w:val="28"/>
        </w:rPr>
        <w:t>维持单位正常运转。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0" w:leftChars="0" w:right="0" w:firstLine="0" w:firstLineChars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（三）部门预算绩效管理开展情况。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按照文件要求，我办开展了部门预算绩效管理，情况较好。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0" w:leftChars="0" w:right="0" w:firstLine="0" w:firstLineChars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（四）当年部门预算及执行情况。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2020年部门预算安排金额为57.34万元，执行率100%。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二、部门整体支出绩效实现情况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（一）履职完成情况：从数量、质量、时效等方面归纳反映年度主要计划任务完成情况。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1.数量指标：工作经费覆盖率100%；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2.质量指标：工作经费投入合规率100%；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3.时效指标：工作经费投入及时性为及时。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（二）履职效果情况：从社会效益、经济效益（如有）、生态效益（如有）等方面反映部门履职效果的实现情况。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1.经济效益指标：业务处理效率100%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2.社会效益指标；党史普及率100%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（三）社会满意度及可持续性影响（如有）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firstLine="560" w:firstLineChars="200"/>
      </w:pPr>
      <w:r>
        <w:rPr>
          <w:rFonts w:hint="eastAsia" w:ascii="仿宋" w:hAnsi="仿宋" w:eastAsia="仿宋" w:cs="仿宋"/>
          <w:kern w:val="2"/>
          <w:sz w:val="28"/>
          <w:szCs w:val="28"/>
        </w:rPr>
        <w:t>社会满意度及可持续影响皆为100%。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三、部门整体支出绩效中存在问题及改进措施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（一）主要问题及原因分析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1.管理制度不够完善；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2.会计制度及预算法学习不够全面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（二）改进的方向和具体措施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1.完善管理制度，进一步加强资产管理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进一步贯彻落实中央八项规定，建立本部门“三公经费”等公务支出管理制度及厉行节约制度，加强经费审批和控制，规范支出标准与范围，并严格执行。不再出现“三公经费”超出预算的情况。严格按照《固定资产管理办法》的规定加强固定资产管理，及时登记、更新台账，加强资产卡片管理，年终前对各类实物资产进行全面盘点，确保账账、账实相符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2.加强新行政单位会计制度和新预算法学习培训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加强新《中华人民共和国预算法》、《行政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我办部门预算收支管理水平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四、绩效自评结果拟应用和公开情况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 w:firstLine="64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2020年度我办部门整体支出绩效自评得分95分，已公开。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Calibri" w:hAnsi="Calibri" w:eastAsia="宋体" w:cs="Times New Roman"/>
          <w:kern w:val="2"/>
          <w:sz w:val="21"/>
          <w:szCs w:val="21"/>
        </w:rPr>
        <w:t>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F229F"/>
    <w:rsid w:val="14F875C2"/>
    <w:rsid w:val="48095D13"/>
    <w:rsid w:val="5CF078AC"/>
    <w:rsid w:val="7BDD1396"/>
    <w:rsid w:val="7DC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next w:val="3"/>
    <w:qFormat/>
    <w:uiPriority w:val="99"/>
    <w:pPr>
      <w:spacing w:after="120"/>
      <w:ind w:left="420" w:leftChars="200"/>
    </w:p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2021-05-21T09:11:00Z</dcterms:created>
  <dc:creator>Administrator</dc:creator>
  <cp:lastModifiedBy>Administrator</cp:lastModifiedBy>
  <dcterms:modified xsi:type="dcterms:W3CDTF">2024-08-26T03:49:52Z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713BD60B448C47FAAEDC7C8B70FFE53C</vt:lpwstr>
  </property>
</Properties>
</file>